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23" w:rsidRDefault="006A0F23">
      <w:pPr>
        <w:jc w:val="right"/>
      </w:pP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685"/>
        <w:gridCol w:w="1921"/>
      </w:tblGrid>
      <w:tr w:rsidR="006A0F23">
        <w:tblPrEx>
          <w:tblCellMar>
            <w:bottom w:w="0" w:type="dxa"/>
          </w:tblCellMar>
        </w:tblPrEx>
        <w:tc>
          <w:tcPr>
            <w:tcW w:w="0" w:type="auto"/>
            <w:shd w:val="clear" w:color="auto" w:fill="EFEFEF"/>
          </w:tcPr>
          <w:p w:rsidR="006A0F23" w:rsidRDefault="00BE11EB">
            <w:pPr>
              <w:spacing w:after="0"/>
            </w:pPr>
            <w:r>
              <w:rPr>
                <w:rFonts w:ascii="Lato Black"/>
                <w:b/>
              </w:rPr>
              <w:t>Policy 200.04: Board Member Social Media Engagement</w:t>
            </w:r>
          </w:p>
        </w:tc>
        <w:tc>
          <w:tcPr>
            <w:tcW w:w="1000" w:type="pct"/>
            <w:shd w:val="clear" w:color="auto" w:fill="EFEFEF"/>
          </w:tcPr>
          <w:p w:rsidR="006A0F23" w:rsidRDefault="00BE11EB">
            <w:r>
              <w:rPr>
                <w:rFonts w:ascii="Lato Black"/>
                <w:b/>
              </w:rPr>
              <w:t xml:space="preserve">Status: </w:t>
            </w:r>
            <w:r>
              <w:rPr>
                <w:rFonts w:ascii="Lato"/>
              </w:rPr>
              <w:t>ADOPTED</w:t>
            </w:r>
          </w:p>
        </w:tc>
      </w:tr>
      <w:tr w:rsidR="006A0F23">
        <w:tblPrEx>
          <w:tblCellMar>
            <w:bottom w:w="0" w:type="dxa"/>
          </w:tblCellMar>
        </w:tblPrEx>
        <w:tc>
          <w:tcPr>
            <w:tcW w:w="0" w:type="auto"/>
            <w:shd w:val="clear" w:color="auto" w:fill="EFEFEF"/>
          </w:tcPr>
          <w:p w:rsidR="006A0F23" w:rsidRDefault="00BE11EB">
            <w:r>
              <w:rPr>
                <w:rFonts w:ascii="Lato Black"/>
                <w:b/>
                <w:sz w:val="18"/>
              </w:rPr>
              <w:t xml:space="preserve">Original Adopted Date: </w:t>
            </w:r>
            <w:r>
              <w:rPr>
                <w:rFonts w:ascii="Lato"/>
                <w:sz w:val="18"/>
              </w:rPr>
              <w:t>04/20/2023</w:t>
            </w:r>
            <w:r>
              <w:rPr>
                <w:rFonts w:ascii="Lato Black"/>
                <w:b/>
                <w:sz w:val="18"/>
              </w:rPr>
              <w:t xml:space="preserve"> | Last Reviewed Date: </w:t>
            </w:r>
            <w:r>
              <w:rPr>
                <w:rFonts w:ascii="Lato"/>
                <w:sz w:val="18"/>
              </w:rPr>
              <w:t>04/20/2023</w:t>
            </w:r>
          </w:p>
        </w:tc>
        <w:tc>
          <w:tcPr>
            <w:tcW w:w="0" w:type="auto"/>
            <w:shd w:val="clear" w:color="auto" w:fill="EFEFEF"/>
          </w:tcPr>
          <w:p w:rsidR="006A0F23" w:rsidRDefault="006A0F23">
            <w:pPr>
              <w:spacing w:after="0"/>
            </w:pPr>
          </w:p>
        </w:tc>
      </w:tr>
    </w:tbl>
    <w:p w:rsidR="006A0F23" w:rsidRDefault="006A0F23">
      <w:pPr>
        <w:spacing w:after="30"/>
        <w:jc w:val="right"/>
      </w:pPr>
    </w:p>
    <w:p w:rsidR="00000000" w:rsidRDefault="00BE11EB">
      <w:pPr>
        <w:divId w:val="1600529750"/>
        <w:rPr>
          <w:rFonts w:ascii="Lato" w:eastAsia="Times New Roman" w:hAnsi="Lato"/>
        </w:rPr>
      </w:pPr>
      <w:r>
        <w:rPr>
          <w:rFonts w:ascii="Lato" w:eastAsia="Times New Roman" w:hAnsi="Lato"/>
        </w:rPr>
        <w:t xml:space="preserve">The </w:t>
      </w:r>
      <w:r w:rsidR="00CA1E44">
        <w:rPr>
          <w:rFonts w:ascii="Lato" w:eastAsia="Times New Roman" w:hAnsi="Lato"/>
        </w:rPr>
        <w:t xml:space="preserve">Tri-County </w:t>
      </w:r>
      <w:bookmarkStart w:id="0" w:name="_GoBack"/>
      <w:bookmarkEnd w:id="0"/>
      <w:r>
        <w:rPr>
          <w:rFonts w:ascii="Lato" w:eastAsia="Times New Roman" w:hAnsi="Lato"/>
        </w:rPr>
        <w:t>board sees the value in promoting the excellent work and accomplishments of the district’s students and staff. Social media is one of many effective communication tools that the district may utilize. Board members have been publicly elected to govern t</w:t>
      </w:r>
      <w:r>
        <w:rPr>
          <w:rFonts w:ascii="Lato" w:eastAsia="Times New Roman" w:hAnsi="Lato"/>
        </w:rPr>
        <w:t>he district and accept a fiduciary responsibility. That responsibility means board members agree to always act in the best interests of the district. For this reason, the board shall expect that individual communications and social media posts made by boar</w:t>
      </w:r>
      <w:r>
        <w:rPr>
          <w:rFonts w:ascii="Lato" w:eastAsia="Times New Roman" w:hAnsi="Lato"/>
        </w:rPr>
        <w:t>d members will reflect the values and decorum expected of elected officials in the school community.</w:t>
      </w:r>
      <w:r>
        <w:rPr>
          <w:rFonts w:ascii="Lato" w:eastAsia="Times New Roman" w:hAnsi="Lato"/>
        </w:rPr>
        <w:br/>
      </w:r>
      <w:r>
        <w:rPr>
          <w:rFonts w:ascii="Lato" w:eastAsia="Times New Roman" w:hAnsi="Lato"/>
        </w:rPr>
        <w:br/>
        <w:t xml:space="preserve">All board members enjoy rights to freedom of speech under both the U.S. and Iowa Constitutions.  As such, the district will not limit protected speech of </w:t>
      </w:r>
      <w:r>
        <w:rPr>
          <w:rFonts w:ascii="Lato" w:eastAsia="Times New Roman" w:hAnsi="Lato"/>
        </w:rPr>
        <w:t>any board members. Certain categories of speech are not protected and may be subject to regulation.  Additionally, board members should be aware that protected speech can still subject individuals to legal liability.  If using social media to discuss distr</w:t>
      </w:r>
      <w:r>
        <w:rPr>
          <w:rFonts w:ascii="Lato" w:eastAsia="Times New Roman" w:hAnsi="Lato"/>
        </w:rPr>
        <w:t>ict related matters, board members should be aware that they may be prohibited from blocking individual communications and posters based upon the content of their posts. </w:t>
      </w:r>
      <w:r>
        <w:rPr>
          <w:rFonts w:ascii="Lato" w:eastAsia="Times New Roman" w:hAnsi="Lato"/>
        </w:rPr>
        <w:br/>
      </w:r>
      <w:r>
        <w:rPr>
          <w:rFonts w:ascii="Lato" w:eastAsia="Times New Roman" w:hAnsi="Lato"/>
        </w:rPr>
        <w:br/>
        <w:t xml:space="preserve">The board as </w:t>
      </w:r>
      <w:proofErr w:type="gramStart"/>
      <w:r>
        <w:rPr>
          <w:rFonts w:ascii="Lato" w:eastAsia="Times New Roman" w:hAnsi="Lato"/>
        </w:rPr>
        <w:t>a whole and individual board members</w:t>
      </w:r>
      <w:proofErr w:type="gramEnd"/>
      <w:r>
        <w:rPr>
          <w:rFonts w:ascii="Lato" w:eastAsia="Times New Roman" w:hAnsi="Lato"/>
        </w:rPr>
        <w:t xml:space="preserve"> in their governance role have lega</w:t>
      </w:r>
      <w:r>
        <w:rPr>
          <w:rFonts w:ascii="Lato" w:eastAsia="Times New Roman" w:hAnsi="Lato"/>
        </w:rPr>
        <w:t xml:space="preserve">l obligations to safeguard the privacy of information related to student and employee matters. Board members will refrain from posting or communicating on social media in a way that violates the district’s obligation to protect the privacy of its students </w:t>
      </w:r>
      <w:r>
        <w:rPr>
          <w:rFonts w:ascii="Lato" w:eastAsia="Times New Roman" w:hAnsi="Lato"/>
        </w:rPr>
        <w:t>and employees.</w:t>
      </w:r>
      <w:r>
        <w:rPr>
          <w:rFonts w:ascii="Lato" w:eastAsia="Times New Roman" w:hAnsi="Lato"/>
        </w:rPr>
        <w:br/>
      </w:r>
      <w:r>
        <w:rPr>
          <w:rFonts w:ascii="Lato" w:eastAsia="Times New Roman" w:hAnsi="Lato"/>
        </w:rPr>
        <w:br/>
        <w:t>Board members are uniquely positioned in the school community to be both accessible and responsive to community concerns about the effective governance of the district.  As a result, the board will remember their obligations to safeguard st</w:t>
      </w:r>
      <w:r>
        <w:rPr>
          <w:rFonts w:ascii="Lato" w:eastAsia="Times New Roman" w:hAnsi="Lato"/>
        </w:rPr>
        <w:t>udent and employee privacy when responding to any social media posts or communications, even if the response is intended to correct information for the rest of the school community.  Board members will direct concerned individuals to the appropriate distri</w:t>
      </w:r>
      <w:r>
        <w:rPr>
          <w:rFonts w:ascii="Lato" w:eastAsia="Times New Roman" w:hAnsi="Lato"/>
        </w:rPr>
        <w:t>ct staff to address their inquiry or complaint in accordance with board policy.  </w:t>
      </w:r>
      <w:r>
        <w:rPr>
          <w:rFonts w:ascii="Lato" w:eastAsia="Times New Roman" w:hAnsi="Lato"/>
        </w:rPr>
        <w:br/>
      </w:r>
      <w:r>
        <w:rPr>
          <w:rFonts w:ascii="Lato" w:eastAsia="Times New Roman" w:hAnsi="Lato"/>
        </w:rPr>
        <w:br/>
      </w:r>
      <w:r>
        <w:rPr>
          <w:rStyle w:val="Strong"/>
          <w:rFonts w:ascii="Lato" w:eastAsia="Times New Roman" w:hAnsi="Lato"/>
          <w:i/>
          <w:iCs/>
        </w:rPr>
        <w:t xml:space="preserve">NOTE: </w:t>
      </w:r>
      <w:r>
        <w:rPr>
          <w:rFonts w:ascii="Lato" w:eastAsia="Times New Roman" w:hAnsi="Lato"/>
        </w:rPr>
        <w:t> </w:t>
      </w:r>
      <w:r>
        <w:rPr>
          <w:rStyle w:val="Emphasis"/>
          <w:rFonts w:ascii="Lato" w:eastAsia="Times New Roman" w:hAnsi="Lato"/>
          <w:b/>
          <w:bCs/>
        </w:rPr>
        <w:t>This policy is discretionary and reflects best practices for board members.  While it is intended to provide a basic legal structure, boards are encouraged to compreh</w:t>
      </w:r>
      <w:r>
        <w:rPr>
          <w:rStyle w:val="Emphasis"/>
          <w:rFonts w:ascii="Lato" w:eastAsia="Times New Roman" w:hAnsi="Lato"/>
          <w:b/>
          <w:bCs/>
        </w:rPr>
        <w:t>ensively discuss this topic at the board table so the board as a whole can develop understanding and consensus behind this policy.  Contact IASB for additional resources on board table discussions related to this topic.</w:t>
      </w:r>
      <w:r>
        <w:rPr>
          <w:rFonts w:ascii="Lato" w:eastAsia="Times New Roman" w:hAnsi="Lato"/>
        </w:rPr>
        <w:br/>
      </w:r>
      <w:r>
        <w:rPr>
          <w:rFonts w:ascii="Lato" w:eastAsia="Times New Roman" w:hAnsi="Lato"/>
        </w:rPr>
        <w:br/>
        <w:t xml:space="preserve">  </w:t>
      </w:r>
    </w:p>
    <w:p w:rsidR="00000000" w:rsidRDefault="00BE11EB">
      <w:pPr>
        <w:shd w:val="clear" w:color="auto" w:fill="EEEEEE"/>
        <w:divId w:val="1956791857"/>
        <w:rPr>
          <w:rFonts w:ascii="Lato" w:eastAsia="Times New Roman" w:hAnsi="Lato"/>
        </w:rPr>
      </w:pPr>
      <w:r>
        <w:rPr>
          <w:rFonts w:ascii="Lato" w:eastAsia="Times New Roman" w:hAnsi="Lato"/>
        </w:rPr>
        <w:t>Legal Reference:             U.S</w:t>
      </w:r>
      <w:r>
        <w:rPr>
          <w:rFonts w:ascii="Lato" w:eastAsia="Times New Roman" w:hAnsi="Lato"/>
        </w:rPr>
        <w:t>. Const. Amend. I</w:t>
      </w:r>
      <w:r>
        <w:rPr>
          <w:rFonts w:ascii="Lato" w:eastAsia="Times New Roman" w:hAnsi="Lato"/>
        </w:rPr>
        <w:br/>
        <w:t>                                                   Iowa Const. Art. I, sec. 7</w:t>
      </w:r>
      <w:r>
        <w:rPr>
          <w:rFonts w:ascii="Lato" w:eastAsia="Times New Roman" w:hAnsi="Lato"/>
        </w:rPr>
        <w:br/>
        <w:t>                                                  20 U.S.C. 1417(c)</w:t>
      </w:r>
      <w:r>
        <w:rPr>
          <w:rFonts w:ascii="Lato" w:eastAsia="Times New Roman" w:hAnsi="Lato"/>
        </w:rPr>
        <w:br/>
        <w:t>                                                  34 C.F.R. 99.3</w:t>
      </w:r>
      <w:r>
        <w:rPr>
          <w:rFonts w:ascii="Lato" w:eastAsia="Times New Roman" w:hAnsi="Lato"/>
        </w:rPr>
        <w:br/>
        <w:t>                           </w:t>
      </w:r>
      <w:r>
        <w:rPr>
          <w:rFonts w:ascii="Lato" w:eastAsia="Times New Roman" w:hAnsi="Lato"/>
        </w:rPr>
        <w:t xml:space="preserve">                       Iowa Code §§ 21; 22</w:t>
      </w:r>
    </w:p>
    <w:p w:rsidR="006A0F23" w:rsidRDefault="006A0F23">
      <w:pPr>
        <w:pBdr>
          <w:bottom w:val="single" w:sz="5" w:space="1" w:color="auto"/>
        </w:pBdr>
      </w:pP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6A0F23">
        <w:tblPrEx>
          <w:tblCellMar>
            <w:top w:w="0" w:type="dxa"/>
            <w:bottom w:w="0" w:type="dxa"/>
          </w:tblCellMar>
        </w:tblPrEx>
        <w:tc>
          <w:tcPr>
            <w:tcW w:w="4017" w:type="dxa"/>
          </w:tcPr>
          <w:p w:rsidR="006A0F23" w:rsidRDefault="00BE11EB">
            <w:pPr>
              <w:spacing w:after="0"/>
            </w:pPr>
            <w:r>
              <w:rPr>
                <w:rFonts w:ascii="Lato Black"/>
                <w:b/>
              </w:rPr>
              <w:t>I.C. Iowa Code</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 xml:space="preserve">Iowa Code  </w:t>
            </w:r>
            <w:r>
              <w:rPr>
                <w:rFonts w:ascii="Lato"/>
              </w:rPr>
              <w:t>§</w:t>
            </w:r>
            <w:r>
              <w:rPr>
                <w:rFonts w:ascii="Lato"/>
              </w:rPr>
              <w:t xml:space="preserve"> 21</w:t>
            </w:r>
          </w:p>
        </w:tc>
        <w:tc>
          <w:tcPr>
            <w:tcW w:w="5961" w:type="dxa"/>
          </w:tcPr>
          <w:p w:rsidR="006A0F23" w:rsidRDefault="00BE11EB">
            <w:hyperlink r:id="rId4" w:docLocation="https://www.legis.iowa.gov/docs/code/21.pdf">
              <w:r>
                <w:rPr>
                  <w:rFonts w:ascii="Lato"/>
                  <w:color w:val="0563C1" w:themeColor="hyperlink"/>
                  <w:u w:val="single"/>
                </w:rPr>
                <w:t>Open Meetings</w:t>
              </w:r>
            </w:hyperlink>
          </w:p>
        </w:tc>
      </w:tr>
      <w:tr w:rsidR="006A0F23">
        <w:tblPrEx>
          <w:tblCellMar>
            <w:top w:w="0" w:type="dxa"/>
            <w:bottom w:w="0" w:type="dxa"/>
          </w:tblCellMar>
        </w:tblPrEx>
        <w:tc>
          <w:tcPr>
            <w:tcW w:w="4017" w:type="dxa"/>
          </w:tcPr>
          <w:p w:rsidR="006A0F23" w:rsidRDefault="00BE11EB">
            <w:pPr>
              <w:spacing w:after="0"/>
            </w:pPr>
            <w:r>
              <w:rPr>
                <w:rFonts w:ascii="Lato"/>
              </w:rPr>
              <w:t xml:space="preserve">Iowa Code  </w:t>
            </w:r>
            <w:r>
              <w:rPr>
                <w:rFonts w:ascii="Lato"/>
              </w:rPr>
              <w:t>§</w:t>
            </w:r>
            <w:r>
              <w:rPr>
                <w:rFonts w:ascii="Lato"/>
              </w:rPr>
              <w:t xml:space="preserve"> 22</w:t>
            </w:r>
          </w:p>
        </w:tc>
        <w:tc>
          <w:tcPr>
            <w:tcW w:w="5961" w:type="dxa"/>
          </w:tcPr>
          <w:p w:rsidR="006A0F23" w:rsidRDefault="00BE11EB">
            <w:hyperlink r:id="rId5" w:docLocation="https://www.legis.iowa.gov/docs/code/22.pdf">
              <w:r>
                <w:rPr>
                  <w:rFonts w:ascii="Lato"/>
                  <w:color w:val="0563C1" w:themeColor="hyperlink"/>
                  <w:u w:val="single"/>
                </w:rPr>
                <w:t>Ope</w:t>
              </w:r>
              <w:r>
                <w:rPr>
                  <w:rFonts w:ascii="Lato"/>
                  <w:color w:val="0563C1" w:themeColor="hyperlink"/>
                  <w:u w:val="single"/>
                </w:rPr>
                <w:t>n Records</w:t>
              </w:r>
            </w:hyperlink>
          </w:p>
        </w:tc>
      </w:tr>
      <w:tr w:rsidR="006A0F23">
        <w:tblPrEx>
          <w:tblCellMar>
            <w:top w:w="0" w:type="dxa"/>
            <w:bottom w:w="0" w:type="dxa"/>
          </w:tblCellMar>
        </w:tblPrEx>
        <w:tc>
          <w:tcPr>
            <w:tcW w:w="4017" w:type="dxa"/>
          </w:tcPr>
          <w:p w:rsidR="006A0F23" w:rsidRDefault="00BE11EB">
            <w:pPr>
              <w:spacing w:after="0"/>
            </w:pPr>
            <w:r>
              <w:rPr>
                <w:rFonts w:ascii="Lato Black"/>
                <w:b/>
              </w:rPr>
              <w:t>U.S.C. - United States Code</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20 U.S.C. 1417(c)</w:t>
            </w:r>
          </w:p>
        </w:tc>
        <w:tc>
          <w:tcPr>
            <w:tcW w:w="5961" w:type="dxa"/>
          </w:tcPr>
          <w:p w:rsidR="006A0F23" w:rsidRDefault="00BE11EB">
            <w:hyperlink r:id="rId6" w:docLocation="https://uscode.house.gov/view.xhtml?req=(title:20%20section:1417%20edition:prelim)">
              <w:r>
                <w:rPr>
                  <w:rFonts w:ascii="Lato"/>
                  <w:color w:val="0563C1" w:themeColor="hyperlink"/>
                  <w:u w:val="single"/>
                </w:rPr>
                <w:t>Administration - Confidentiality</w:t>
              </w:r>
            </w:hyperlink>
          </w:p>
        </w:tc>
      </w:tr>
      <w:tr w:rsidR="006A0F23">
        <w:tblPrEx>
          <w:tblCellMar>
            <w:top w:w="0" w:type="dxa"/>
            <w:bottom w:w="0" w:type="dxa"/>
          </w:tblCellMar>
        </w:tblPrEx>
        <w:tc>
          <w:tcPr>
            <w:tcW w:w="4017" w:type="dxa"/>
          </w:tcPr>
          <w:p w:rsidR="006A0F23" w:rsidRDefault="00BE11EB">
            <w:pPr>
              <w:spacing w:after="0"/>
            </w:pPr>
            <w:r>
              <w:rPr>
                <w:rFonts w:ascii="Lato Black"/>
                <w:b/>
              </w:rPr>
              <w:lastRenderedPageBreak/>
              <w:t>C.F.R. - Code of Federal Regulations</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34 C.F.R. Pt. 99</w:t>
            </w:r>
          </w:p>
        </w:tc>
        <w:tc>
          <w:tcPr>
            <w:tcW w:w="5961" w:type="dxa"/>
          </w:tcPr>
          <w:p w:rsidR="006A0F23" w:rsidRDefault="00BE11EB">
            <w:hyperlink r:id="rId7" w:docLocation="https://www.ecfr.gov/current/title-34/subtitle-A/part-99">
              <w:r>
                <w:rPr>
                  <w:rFonts w:ascii="Lato"/>
                  <w:color w:val="0563C1" w:themeColor="hyperlink"/>
                  <w:u w:val="single"/>
                </w:rPr>
                <w:t>Education - F</w:t>
              </w:r>
              <w:r>
                <w:rPr>
                  <w:rFonts w:ascii="Lato"/>
                  <w:color w:val="0563C1" w:themeColor="hyperlink"/>
                  <w:u w:val="single"/>
                </w:rPr>
                <w:t>amily Rights and Privacy</w:t>
              </w:r>
            </w:hyperlink>
          </w:p>
        </w:tc>
      </w:tr>
      <w:tr w:rsidR="006A0F23">
        <w:tblPrEx>
          <w:tblCellMar>
            <w:top w:w="0" w:type="dxa"/>
            <w:bottom w:w="0" w:type="dxa"/>
          </w:tblCellMar>
        </w:tblPrEx>
        <w:tc>
          <w:tcPr>
            <w:tcW w:w="4017" w:type="dxa"/>
          </w:tcPr>
          <w:p w:rsidR="006A0F23" w:rsidRDefault="00BE11EB">
            <w:pPr>
              <w:spacing w:after="0"/>
            </w:pPr>
            <w:r>
              <w:rPr>
                <w:rFonts w:ascii="Lato Black"/>
                <w:b/>
              </w:rPr>
              <w:t>U.S. Constitution</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U.S. Constitution</w:t>
            </w:r>
          </w:p>
        </w:tc>
        <w:tc>
          <w:tcPr>
            <w:tcW w:w="5961" w:type="dxa"/>
          </w:tcPr>
          <w:p w:rsidR="006A0F23" w:rsidRDefault="00BE11EB">
            <w:hyperlink r:id="rId8" w:docLocation="https://constitution.findlaw.com/amendments.html">
              <w:r>
                <w:rPr>
                  <w:rFonts w:ascii="Lato"/>
                  <w:color w:val="0563C1" w:themeColor="hyperlink"/>
                  <w:u w:val="single"/>
                </w:rPr>
                <w:t>Amend. 1</w:t>
              </w:r>
            </w:hyperlink>
          </w:p>
        </w:tc>
      </w:tr>
      <w:tr w:rsidR="006A0F23">
        <w:tblPrEx>
          <w:tblCellMar>
            <w:top w:w="0" w:type="dxa"/>
            <w:bottom w:w="0" w:type="dxa"/>
          </w:tblCellMar>
        </w:tblPrEx>
        <w:tc>
          <w:tcPr>
            <w:tcW w:w="4017" w:type="dxa"/>
          </w:tcPr>
          <w:p w:rsidR="006A0F23" w:rsidRDefault="00BE11EB">
            <w:pPr>
              <w:spacing w:after="0"/>
            </w:pPr>
            <w:r>
              <w:rPr>
                <w:rFonts w:ascii="Lato Black"/>
                <w:b/>
              </w:rPr>
              <w:t>Iowa Constitution</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Iowa Constitution</w:t>
            </w:r>
          </w:p>
        </w:tc>
        <w:tc>
          <w:tcPr>
            <w:tcW w:w="5961" w:type="dxa"/>
          </w:tcPr>
          <w:p w:rsidR="006A0F23" w:rsidRDefault="00BE11EB">
            <w:r>
              <w:rPr>
                <w:rFonts w:ascii="Lato"/>
              </w:rPr>
              <w:t>Art. I, Sec. 7</w:t>
            </w:r>
          </w:p>
        </w:tc>
      </w:tr>
    </w:tbl>
    <w:p w:rsidR="00000000" w:rsidRDefault="00BE11EB">
      <w:pPr>
        <w:shd w:val="clear" w:color="auto" w:fill="F9F9F9"/>
        <w:spacing w:line="480" w:lineRule="auto"/>
        <w:divId w:val="1470318721"/>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6A0F23">
        <w:tblPrEx>
          <w:tblCellMar>
            <w:top w:w="0" w:type="dxa"/>
            <w:bottom w:w="0" w:type="dxa"/>
          </w:tblCellMar>
        </w:tblPrEx>
        <w:tc>
          <w:tcPr>
            <w:tcW w:w="4017" w:type="dxa"/>
          </w:tcPr>
          <w:p w:rsidR="006A0F23" w:rsidRDefault="00BE11EB">
            <w:pPr>
              <w:spacing w:after="0"/>
            </w:pPr>
            <w:r>
              <w:rPr>
                <w:rFonts w:ascii="Lato Black"/>
                <w:b/>
              </w:rPr>
              <w:t>Code</w:t>
            </w:r>
          </w:p>
        </w:tc>
        <w:tc>
          <w:tcPr>
            <w:tcW w:w="5961" w:type="dxa"/>
          </w:tcPr>
          <w:p w:rsidR="006A0F23" w:rsidRDefault="00BE11EB">
            <w:pPr>
              <w:spacing w:after="0"/>
            </w:pPr>
            <w:r>
              <w:rPr>
                <w:rFonts w:ascii="Lato Black"/>
                <w:b/>
              </w:rPr>
              <w:t>Description</w:t>
            </w:r>
          </w:p>
        </w:tc>
      </w:tr>
      <w:tr w:rsidR="006A0F23">
        <w:tblPrEx>
          <w:tblCellMar>
            <w:top w:w="0" w:type="dxa"/>
            <w:bottom w:w="0" w:type="dxa"/>
          </w:tblCellMar>
        </w:tblPrEx>
        <w:tc>
          <w:tcPr>
            <w:tcW w:w="4017" w:type="dxa"/>
          </w:tcPr>
          <w:p w:rsidR="006A0F23" w:rsidRDefault="00BE11EB">
            <w:pPr>
              <w:spacing w:after="0"/>
            </w:pPr>
            <w:r>
              <w:rPr>
                <w:rFonts w:ascii="Lato"/>
              </w:rPr>
              <w:t>200.03</w:t>
            </w:r>
          </w:p>
        </w:tc>
        <w:tc>
          <w:tcPr>
            <w:tcW w:w="5961" w:type="dxa"/>
          </w:tcPr>
          <w:p w:rsidR="006A0F23" w:rsidRDefault="00BE11EB">
            <w:hyperlink r:id="rId9" w:docLocation="https://simbli.eboardsolutions.com/Policy/ViewPolicy.aspx?S=36031104&amp;revid=lXF5VOxJCDeGamoSnmRB2A==">
              <w:r>
                <w:rPr>
                  <w:rFonts w:ascii="Lato"/>
                  <w:color w:val="0563C1" w:themeColor="hyperlink"/>
                  <w:u w:val="single"/>
                </w:rPr>
                <w:t>Responsibilities of the Board of Directors</w:t>
              </w:r>
            </w:hyperlink>
          </w:p>
        </w:tc>
      </w:tr>
      <w:tr w:rsidR="006A0F23">
        <w:tblPrEx>
          <w:tblCellMar>
            <w:top w:w="0" w:type="dxa"/>
            <w:bottom w:w="0" w:type="dxa"/>
          </w:tblCellMar>
        </w:tblPrEx>
        <w:tc>
          <w:tcPr>
            <w:tcW w:w="4017" w:type="dxa"/>
          </w:tcPr>
          <w:p w:rsidR="006A0F23" w:rsidRDefault="00BE11EB">
            <w:pPr>
              <w:spacing w:after="0"/>
            </w:pPr>
            <w:r>
              <w:rPr>
                <w:rFonts w:ascii="Lato"/>
              </w:rPr>
              <w:t>902.01</w:t>
            </w:r>
          </w:p>
        </w:tc>
        <w:tc>
          <w:tcPr>
            <w:tcW w:w="5961" w:type="dxa"/>
          </w:tcPr>
          <w:p w:rsidR="006A0F23" w:rsidRDefault="00BE11EB">
            <w:hyperlink r:id="rId10" w:docLocation="https://simbli.eboardsolutions.com/Policy/ViewPolicy.aspx?S=36031104&amp;revid=sy6xnft7qqkABIBslshhgdzxQ==">
              <w:r>
                <w:rPr>
                  <w:rFonts w:ascii="Lato"/>
                  <w:color w:val="0563C1" w:themeColor="hyperlink"/>
                  <w:u w:val="single"/>
                </w:rPr>
                <w:t>News Media Relations</w:t>
              </w:r>
            </w:hyperlink>
          </w:p>
        </w:tc>
      </w:tr>
    </w:tbl>
    <w:p w:rsidR="00BE11EB" w:rsidRDefault="00BE11EB"/>
    <w:sectPr w:rsidR="00BE11EB">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23"/>
    <w:rsid w:val="006A0F23"/>
    <w:rsid w:val="00BE11EB"/>
    <w:rsid w:val="00CA1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F800"/>
  <w15:docId w15:val="{A7D91D3C-ABF0-413D-91D0-CDA3F2F8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99455">
      <w:bodyDiv w:val="1"/>
      <w:marLeft w:val="0"/>
      <w:marRight w:val="0"/>
      <w:marTop w:val="0"/>
      <w:marBottom w:val="0"/>
      <w:divBdr>
        <w:top w:val="none" w:sz="0" w:space="0" w:color="auto"/>
        <w:left w:val="none" w:sz="0" w:space="0" w:color="auto"/>
        <w:bottom w:val="none" w:sz="0" w:space="0" w:color="auto"/>
        <w:right w:val="none" w:sz="0" w:space="0" w:color="auto"/>
      </w:divBdr>
      <w:divsChild>
        <w:div w:id="1470318721">
          <w:marLeft w:val="0"/>
          <w:marRight w:val="0"/>
          <w:marTop w:val="150"/>
          <w:marBottom w:val="0"/>
          <w:divBdr>
            <w:top w:val="none" w:sz="0" w:space="0" w:color="auto"/>
            <w:left w:val="none" w:sz="0" w:space="0" w:color="auto"/>
            <w:bottom w:val="none" w:sz="0" w:space="0" w:color="auto"/>
            <w:right w:val="none" w:sz="0" w:space="0" w:color="auto"/>
          </w:divBdr>
        </w:div>
      </w:divsChild>
    </w:div>
    <w:div w:id="1600529750">
      <w:bodyDiv w:val="1"/>
      <w:marLeft w:val="0"/>
      <w:marRight w:val="0"/>
      <w:marTop w:val="0"/>
      <w:marBottom w:val="0"/>
      <w:divBdr>
        <w:top w:val="none" w:sz="0" w:space="0" w:color="auto"/>
        <w:left w:val="none" w:sz="0" w:space="0" w:color="auto"/>
        <w:bottom w:val="none" w:sz="0" w:space="0" w:color="auto"/>
        <w:right w:val="none" w:sz="0" w:space="0" w:color="auto"/>
      </w:divBdr>
      <w:divsChild>
        <w:div w:id="1956791857">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stitution.findlaw.com/amendments.html" TargetMode="External"/><Relationship Id="rId3" Type="http://schemas.openxmlformats.org/officeDocument/2006/relationships/webSettings" Target="webSettings.xml"/><Relationship Id="rId7" Type="http://schemas.openxmlformats.org/officeDocument/2006/relationships/hyperlink" Target="https://www.ecfr.gov/current/title-34/subtitle-A/part-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code.house.gov/view.xhtml?req=(title:20%20section:1417%20edition:prelim)" TargetMode="External"/><Relationship Id="rId11" Type="http://schemas.openxmlformats.org/officeDocument/2006/relationships/fontTable" Target="fontTable.xml"/><Relationship Id="rId5" Type="http://schemas.openxmlformats.org/officeDocument/2006/relationships/hyperlink" Target="https://www.legis.iowa.gov/docs/code/22.pdf" TargetMode="External"/><Relationship Id="rId10" Type="http://schemas.openxmlformats.org/officeDocument/2006/relationships/hyperlink" Target="https://simbli.eboardsolutions.com/Policy/ViewPolicy.aspx?S=36031104&amp;revid=sy6xnft7qqkABIBslshhgdzxQ==" TargetMode="External"/><Relationship Id="rId4" Type="http://schemas.openxmlformats.org/officeDocument/2006/relationships/hyperlink" Target="https://www.legis.iowa.gov/docs/code/21.pdf" TargetMode="External"/><Relationship Id="rId9" Type="http://schemas.openxmlformats.org/officeDocument/2006/relationships/hyperlink" Target="https://simbli.eboardsolutions.com/Policy/ViewPolicy.aspx?S=36031104&amp;revid=lXF5VOxJCDeGamoSnmRB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Heisdorffer</dc:creator>
  <cp:lastModifiedBy>Linda Heisdorffer</cp:lastModifiedBy>
  <cp:revision>2</cp:revision>
  <dcterms:created xsi:type="dcterms:W3CDTF">2024-02-14T19:34:00Z</dcterms:created>
  <dcterms:modified xsi:type="dcterms:W3CDTF">2024-02-14T19:34:00Z</dcterms:modified>
</cp:coreProperties>
</file>